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  <w:rPr>
          <w:sz w:val="48"/>
        </w:rPr>
      </w:pPr>
    </w:p>
    <w:p>
      <w:pPr>
        <w:spacing w:line="249" w:lineRule="auto" w:before="0"/>
        <w:ind w:left="943" w:right="1078" w:firstLine="1059"/>
        <w:jc w:val="left"/>
        <w:rPr>
          <w:sz w:val="48"/>
        </w:rPr>
      </w:pPr>
      <w:r>
        <w:rPr>
          <w:color w:val="7F0000"/>
          <w:sz w:val="48"/>
        </w:rPr>
        <w:t>Le novità contenute nel CCNL 2022-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2024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per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i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dirigenti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degli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enti</w:t>
      </w:r>
      <w:r>
        <w:rPr>
          <w:color w:val="7F0000"/>
          <w:spacing w:val="-5"/>
          <w:sz w:val="48"/>
        </w:rPr>
        <w:t> </w:t>
      </w:r>
      <w:r>
        <w:rPr>
          <w:color w:val="7F0000"/>
          <w:sz w:val="48"/>
        </w:rPr>
        <w:t>locali</w:t>
      </w:r>
    </w:p>
    <w:p>
      <w:pPr>
        <w:pStyle w:val="BodyText"/>
        <w:rPr>
          <w:sz w:val="32"/>
        </w:rPr>
      </w:pPr>
    </w:p>
    <w:p>
      <w:pPr>
        <w:pStyle w:val="BodyText"/>
        <w:spacing w:before="177"/>
        <w:rPr>
          <w:sz w:val="32"/>
        </w:rPr>
      </w:pPr>
    </w:p>
    <w:p>
      <w:pPr>
        <w:pStyle w:val="Heading1"/>
        <w:rPr>
          <w:u w:val="none"/>
        </w:rPr>
      </w:pPr>
      <w:bookmarkStart w:name="Test di verifica dell’apprendimento" w:id="1"/>
      <w:bookmarkEnd w:id="1"/>
      <w:r>
        <w:rPr>
          <w:b w:val="0"/>
          <w:u w:val="none"/>
        </w:rPr>
      </w:r>
      <w:r>
        <w:rPr>
          <w:color w:val="001F5F"/>
          <w:u w:val="single" w:color="001F5F"/>
        </w:rPr>
        <w:t>Test</w:t>
      </w:r>
      <w:r>
        <w:rPr>
          <w:color w:val="001F5F"/>
          <w:spacing w:val="-3"/>
          <w:u w:val="single" w:color="001F5F"/>
        </w:rPr>
        <w:t> </w:t>
      </w:r>
      <w:r>
        <w:rPr>
          <w:color w:val="001F5F"/>
          <w:u w:val="single" w:color="001F5F"/>
        </w:rPr>
        <w:t>di</w:t>
      </w:r>
      <w:r>
        <w:rPr>
          <w:color w:val="001F5F"/>
          <w:spacing w:val="-2"/>
          <w:u w:val="single" w:color="001F5F"/>
        </w:rPr>
        <w:t> </w:t>
      </w:r>
      <w:r>
        <w:rPr>
          <w:color w:val="001F5F"/>
          <w:u w:val="single" w:color="001F5F"/>
        </w:rPr>
        <w:t>verifica</w:t>
      </w:r>
      <w:r>
        <w:rPr>
          <w:color w:val="001F5F"/>
          <w:spacing w:val="-1"/>
          <w:u w:val="single" w:color="001F5F"/>
        </w:rPr>
        <w:t> </w:t>
      </w:r>
      <w:r>
        <w:rPr>
          <w:color w:val="001F5F"/>
          <w:spacing w:val="-2"/>
          <w:u w:val="single" w:color="001F5F"/>
        </w:rPr>
        <w:t>dell’apprendimento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662940</wp:posOffset>
                </wp:positionH>
                <wp:positionV relativeFrom="paragraph">
                  <wp:posOffset>269571</wp:posOffset>
                </wp:positionV>
                <wp:extent cx="6233795" cy="861694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33795" cy="8616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tabs>
                                <w:tab w:pos="4075" w:val="left" w:leader="none"/>
                                <w:tab w:pos="7649" w:val="left" w:leader="none"/>
                              </w:tabs>
                              <w:spacing w:before="0"/>
                              <w:ind w:left="54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bookmarkStart w:name="Cognome ___________________________ Nome" w:id="2"/>
                            <w:bookmarkEnd w:id="2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54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tabs>
                                <w:tab w:pos="9270" w:val="left" w:leader="none"/>
                              </w:tabs>
                              <w:spacing w:before="0"/>
                              <w:ind w:left="55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bookmarkStart w:name="Ente di appartenenza ___________________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Ente di appartenenza</w:t>
                            </w:r>
                            <w:r>
                              <w:rPr>
                                <w:b/>
                                <w:spacing w:val="5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200001pt;margin-top:21.226082pt;width:490.85pt;height:67.850pt;mso-position-horizontal-relative:page;mso-position-vertical-relative:paragraph;z-index:-15728640;mso-wrap-distance-left:0;mso-wrap-distance-right:0" type="#_x0000_t202" id="docshape1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35"/>
                        <w:rPr>
                          <w:b/>
                        </w:rPr>
                      </w:pPr>
                    </w:p>
                    <w:p>
                      <w:pPr>
                        <w:tabs>
                          <w:tab w:pos="4075" w:val="left" w:leader="none"/>
                          <w:tab w:pos="7649" w:val="left" w:leader="none"/>
                        </w:tabs>
                        <w:spacing w:before="0"/>
                        <w:ind w:left="54" w:right="0" w:firstLine="0"/>
                        <w:jc w:val="center"/>
                        <w:rPr>
                          <w:sz w:val="22"/>
                        </w:rPr>
                      </w:pPr>
                      <w:bookmarkStart w:name="Cognome ___________________________ Nome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2"/>
                        </w:rPr>
                        <w:t>Cognome</w:t>
                      </w:r>
                      <w:r>
                        <w:rPr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none"/>
                        </w:rPr>
                        <w:t>Nome</w:t>
                      </w:r>
                      <w:r>
                        <w:rPr>
                          <w:b/>
                          <w:spacing w:val="54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tabs>
                          <w:tab w:pos="9270" w:val="left" w:leader="none"/>
                        </w:tabs>
                        <w:spacing w:before="0"/>
                        <w:ind w:left="55" w:right="0" w:firstLine="0"/>
                        <w:jc w:val="center"/>
                        <w:rPr>
                          <w:sz w:val="22"/>
                        </w:rPr>
                      </w:pPr>
                      <w:bookmarkStart w:name="Ente di appartenenza ___________________" w:id="5"/>
                      <w:bookmarkEnd w:id="5"/>
                      <w:r>
                        <w:rPr/>
                      </w:r>
                      <w:r>
                        <w:rPr>
                          <w:b/>
                          <w:sz w:val="22"/>
                        </w:rPr>
                        <w:t>Ente di appartenenza</w:t>
                      </w:r>
                      <w:r>
                        <w:rPr>
                          <w:b/>
                          <w:spacing w:val="56"/>
                          <w:sz w:val="22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tabs>
          <w:tab w:pos="851" w:val="left" w:leader="none"/>
          <w:tab w:pos="4391" w:val="left" w:leader="none"/>
        </w:tabs>
        <w:spacing w:before="0"/>
        <w:ind w:left="143" w:right="0" w:firstLine="0"/>
        <w:jc w:val="left"/>
        <w:rPr>
          <w:sz w:val="22"/>
        </w:rPr>
      </w:pPr>
      <w:r>
        <w:rPr>
          <w:rFonts w:ascii="Calibri" w:hAnsi="Calibri"/>
          <w:spacing w:val="-10"/>
          <w:sz w:val="22"/>
        </w:rPr>
        <w:t>*</w:t>
      </w:r>
      <w:r>
        <w:rPr>
          <w:rFonts w:ascii="Calibri" w:hAnsi="Calibri"/>
          <w:sz w:val="22"/>
        </w:rPr>
        <w:tab/>
      </w:r>
      <w:r>
        <w:rPr>
          <w:b/>
          <w:sz w:val="22"/>
        </w:rPr>
        <w:t>Modalità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> compilazione</w:t>
      </w:r>
      <w:r>
        <w:rPr>
          <w:spacing w:val="-2"/>
          <w:sz w:val="22"/>
        </w:rPr>
        <w:t>:</w:t>
      </w:r>
      <w:r>
        <w:rPr>
          <w:sz w:val="22"/>
        </w:rPr>
        <w:tab/>
        <w:t>per</w:t>
      </w:r>
      <w:r>
        <w:rPr>
          <w:spacing w:val="-6"/>
          <w:sz w:val="22"/>
        </w:rPr>
        <w:t> </w:t>
      </w:r>
      <w:r>
        <w:rPr>
          <w:sz w:val="22"/>
        </w:rPr>
        <w:t>ogni</w:t>
      </w:r>
      <w:r>
        <w:rPr>
          <w:spacing w:val="-3"/>
          <w:sz w:val="22"/>
        </w:rPr>
        <w:t> </w:t>
      </w:r>
      <w:r>
        <w:rPr>
          <w:sz w:val="22"/>
        </w:rPr>
        <w:t>quesito,</w:t>
      </w:r>
      <w:r>
        <w:rPr>
          <w:spacing w:val="-2"/>
          <w:sz w:val="22"/>
        </w:rPr>
        <w:t> </w:t>
      </w:r>
      <w:r>
        <w:rPr>
          <w:sz w:val="22"/>
        </w:rPr>
        <w:t>barrare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sola</w:t>
      </w:r>
      <w:r>
        <w:rPr>
          <w:spacing w:val="-2"/>
          <w:sz w:val="22"/>
        </w:rPr>
        <w:t> risposta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3362"/>
        <w:gridCol w:w="1424"/>
      </w:tblGrid>
      <w:tr>
        <w:trPr>
          <w:trHeight w:val="500" w:hRule="atLeast"/>
        </w:trPr>
        <w:tc>
          <w:tcPr>
            <w:tcW w:w="3622" w:type="dxa"/>
          </w:tcPr>
          <w:p>
            <w:pPr>
              <w:pStyle w:val="TableParagraph"/>
              <w:tabs>
                <w:tab w:pos="757" w:val="left" w:leader="none"/>
              </w:tabs>
              <w:spacing w:line="24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*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Tempo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disposizione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3362" w:type="dxa"/>
          </w:tcPr>
          <w:p>
            <w:pPr>
              <w:pStyle w:val="TableParagraph"/>
              <w:spacing w:line="244" w:lineRule="exact"/>
              <w:ind w:left="676"/>
              <w:rPr>
                <w:sz w:val="22"/>
              </w:rPr>
            </w:pPr>
            <w:r>
              <w:rPr>
                <w:sz w:val="22"/>
              </w:rPr>
              <w:t>10 </w:t>
            </w:r>
            <w:r>
              <w:rPr>
                <w:spacing w:val="-2"/>
                <w:sz w:val="22"/>
              </w:rPr>
              <w:t>minuti</w:t>
            </w:r>
          </w:p>
        </w:tc>
        <w:tc>
          <w:tcPr>
            <w:tcW w:w="142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879" w:hRule="atLeast"/>
        </w:trPr>
        <w:tc>
          <w:tcPr>
            <w:tcW w:w="3622" w:type="dxa"/>
          </w:tcPr>
          <w:p>
            <w:pPr>
              <w:pStyle w:val="TableParagraph"/>
              <w:tabs>
                <w:tab w:pos="757" w:val="left" w:leader="none"/>
              </w:tabs>
              <w:spacing w:before="248"/>
              <w:rPr>
                <w:sz w:val="22"/>
              </w:rPr>
            </w:pPr>
            <w:r>
              <w:rPr>
                <w:spacing w:val="-10"/>
                <w:sz w:val="22"/>
              </w:rPr>
              <w:t>*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Criterio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valutazione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3362" w:type="dxa"/>
          </w:tcPr>
          <w:p>
            <w:pPr>
              <w:pStyle w:val="TableParagraph"/>
              <w:spacing w:before="248"/>
              <w:ind w:left="676"/>
              <w:rPr>
                <w:sz w:val="22"/>
              </w:rPr>
            </w:pPr>
            <w:r>
              <w:rPr>
                <w:sz w:val="22"/>
              </w:rPr>
              <w:t>fino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risposte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esatte:</w:t>
            </w:r>
          </w:p>
          <w:p>
            <w:pPr>
              <w:pStyle w:val="TableParagraph"/>
              <w:spacing w:line="233" w:lineRule="exact" w:before="126"/>
              <w:ind w:left="675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almeno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risposte</w:t>
            </w:r>
            <w:r>
              <w:rPr>
                <w:spacing w:val="-2"/>
                <w:sz w:val="22"/>
              </w:rPr>
              <w:t> esatte:</w:t>
            </w:r>
          </w:p>
        </w:tc>
        <w:tc>
          <w:tcPr>
            <w:tcW w:w="1424" w:type="dxa"/>
          </w:tcPr>
          <w:p>
            <w:pPr>
              <w:pStyle w:val="TableParagraph"/>
              <w:spacing w:line="380" w:lineRule="atLeast" w:before="100"/>
              <w:ind w:left="145" w:right="48"/>
              <w:rPr>
                <w:sz w:val="22"/>
              </w:rPr>
            </w:pPr>
            <w:r>
              <w:rPr>
                <w:sz w:val="22"/>
              </w:rPr>
              <w:t>esito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negativo esito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positivo</w:t>
            </w:r>
          </w:p>
        </w:tc>
      </w:tr>
    </w:tbl>
    <w:p>
      <w:pPr>
        <w:pStyle w:val="TableParagraph"/>
        <w:spacing w:after="0" w:line="380" w:lineRule="atLeast"/>
        <w:rPr>
          <w:sz w:val="22"/>
        </w:rPr>
        <w:sectPr>
          <w:headerReference w:type="default" r:id="rId5"/>
          <w:type w:val="continuous"/>
          <w:pgSz w:w="11910" w:h="16840"/>
          <w:pgMar w:header="708" w:footer="0" w:top="1720" w:bottom="280" w:left="992" w:right="85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373" w:val="left" w:leader="none"/>
        </w:tabs>
        <w:spacing w:line="246" w:lineRule="exact" w:before="80" w:after="0"/>
        <w:ind w:left="373" w:right="0" w:hanging="238"/>
        <w:jc w:val="left"/>
      </w:pPr>
      <w:r>
        <w:rPr/>
        <w:t>Gli arretrati sulla retribuzione di </w:t>
      </w:r>
      <w:r>
        <w:rPr>
          <w:spacing w:val="-2"/>
        </w:rPr>
        <w:t>posizione...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246" w:lineRule="exact" w:before="0" w:after="0"/>
        <w:ind w:left="872" w:right="0" w:hanging="358"/>
        <w:jc w:val="left"/>
        <w:rPr>
          <w:sz w:val="22"/>
        </w:rPr>
      </w:pPr>
      <w:r>
        <w:rPr>
          <w:sz w:val="22"/>
        </w:rPr>
        <w:t>dovranno essere calcolati al lordo della </w:t>
      </w:r>
      <w:r>
        <w:rPr>
          <w:spacing w:val="-4"/>
          <w:sz w:val="22"/>
        </w:rPr>
        <w:t>IVC;</w:t>
      </w: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7" w:after="0"/>
        <w:ind w:left="873" w:right="0" w:hanging="371"/>
        <w:jc w:val="left"/>
        <w:rPr>
          <w:sz w:val="22"/>
        </w:rPr>
      </w:pPr>
      <w:r>
        <w:rPr>
          <w:sz w:val="22"/>
        </w:rPr>
        <w:t>dovranno essere calcolati escludendo la maggiorazione del 2024 pari a 6,7 volte </w:t>
      </w:r>
      <w:r>
        <w:rPr>
          <w:spacing w:val="-4"/>
          <w:sz w:val="22"/>
        </w:rPr>
        <w:t>IVC;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40" w:lineRule="auto" w:before="7" w:after="0"/>
        <w:ind w:left="873" w:right="144" w:hanging="360"/>
        <w:jc w:val="left"/>
        <w:rPr>
          <w:sz w:val="22"/>
        </w:rPr>
      </w:pPr>
      <w:r>
        <w:rPr>
          <w:sz w:val="22"/>
        </w:rPr>
        <w:t>dovranno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calcolati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netto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IVC</w:t>
      </w:r>
      <w:r>
        <w:rPr>
          <w:spacing w:val="-3"/>
          <w:sz w:val="22"/>
        </w:rPr>
        <w:t> </w:t>
      </w:r>
      <w:r>
        <w:rPr>
          <w:sz w:val="22"/>
        </w:rPr>
        <w:t>corrisposta</w:t>
      </w:r>
      <w:r>
        <w:rPr>
          <w:spacing w:val="-3"/>
          <w:sz w:val="22"/>
        </w:rPr>
        <w:t> </w:t>
      </w:r>
      <w:r>
        <w:rPr>
          <w:sz w:val="22"/>
        </w:rPr>
        <w:t>comprensiva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maggiorazione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6,7</w:t>
      </w:r>
      <w:r>
        <w:rPr>
          <w:spacing w:val="-3"/>
          <w:sz w:val="22"/>
        </w:rPr>
        <w:t> </w:t>
      </w:r>
      <w:r>
        <w:rPr>
          <w:sz w:val="22"/>
        </w:rPr>
        <w:t>volte </w:t>
      </w:r>
      <w:r>
        <w:rPr>
          <w:spacing w:val="-4"/>
          <w:sz w:val="22"/>
        </w:rPr>
        <w:t>IVC.</w:t>
      </w:r>
    </w:p>
    <w:p>
      <w:pPr>
        <w:pStyle w:val="BodyText"/>
        <w:spacing w:before="65"/>
      </w:pPr>
    </w:p>
    <w:p>
      <w:pPr>
        <w:pStyle w:val="Heading2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3" w:right="0" w:hanging="250"/>
        <w:jc w:val="left"/>
      </w:pPr>
      <w:r>
        <w:rPr/>
        <w:t>Una volta corrisposto l'incremento della retribuzione di risultato la parte restante può essere </w:t>
      </w:r>
      <w:r>
        <w:rPr>
          <w:spacing w:val="-2"/>
        </w:rPr>
        <w:t>destinata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0" w:after="0"/>
        <w:ind w:left="648" w:right="0" w:hanging="292"/>
        <w:jc w:val="left"/>
        <w:rPr>
          <w:sz w:val="22"/>
        </w:rPr>
      </w:pPr>
      <w:r>
        <w:rPr>
          <w:sz w:val="22"/>
        </w:rPr>
        <w:t>Al solo incremento della retribuzione di </w:t>
      </w:r>
      <w:r>
        <w:rPr>
          <w:spacing w:val="-2"/>
          <w:sz w:val="22"/>
        </w:rPr>
        <w:t>risultato;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23" w:after="0"/>
        <w:ind w:left="648" w:right="0" w:hanging="305"/>
        <w:jc w:val="left"/>
        <w:rPr>
          <w:i/>
          <w:sz w:val="22"/>
        </w:rPr>
      </w:pPr>
      <w:r>
        <w:rPr>
          <w:sz w:val="22"/>
        </w:rPr>
        <w:t>All'incremento</w:t>
      </w:r>
      <w:r>
        <w:rPr>
          <w:spacing w:val="-2"/>
          <w:sz w:val="22"/>
        </w:rPr>
        <w:t> </w:t>
      </w:r>
      <w:r>
        <w:rPr>
          <w:sz w:val="22"/>
        </w:rPr>
        <w:t>della retribuzione di risultato e al welfare </w:t>
      </w:r>
      <w:r>
        <w:rPr>
          <w:spacing w:val="-2"/>
          <w:sz w:val="22"/>
        </w:rPr>
        <w:t>integrativo</w:t>
      </w:r>
      <w:r>
        <w:rPr>
          <w:i/>
          <w:spacing w:val="-2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3" w:after="0"/>
        <w:ind w:left="648" w:right="0" w:hanging="292"/>
        <w:jc w:val="left"/>
        <w:rPr>
          <w:sz w:val="22"/>
        </w:rPr>
      </w:pPr>
      <w:r>
        <w:rPr>
          <w:sz w:val="22"/>
        </w:rPr>
        <w:t>Al solo welfare </w:t>
      </w:r>
      <w:r>
        <w:rPr>
          <w:spacing w:val="-2"/>
          <w:sz w:val="22"/>
        </w:rPr>
        <w:t>integrativo.</w:t>
      </w:r>
    </w:p>
    <w:p>
      <w:pPr>
        <w:pStyle w:val="BodyText"/>
        <w:spacing w:before="12"/>
      </w:pPr>
    </w:p>
    <w:p>
      <w:pPr>
        <w:pStyle w:val="Heading2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224"/>
        <w:jc w:val="left"/>
      </w:pPr>
      <w:r>
        <w:rPr/>
        <w:t>Le risorse variabili dello 0,22% del monte salari 2021 sono inserite </w:t>
      </w:r>
      <w:r>
        <w:rPr>
          <w:spacing w:val="-4"/>
        </w:rPr>
        <w:t>tra: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  <w:tab w:pos="863" w:val="left" w:leader="none"/>
        </w:tabs>
        <w:spacing w:line="249" w:lineRule="auto" w:before="0" w:after="0"/>
        <w:ind w:left="863" w:right="164" w:hanging="361"/>
        <w:jc w:val="left"/>
        <w:rPr>
          <w:sz w:val="22"/>
        </w:rPr>
      </w:pP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componenti</w:t>
      </w:r>
      <w:r>
        <w:rPr>
          <w:spacing w:val="-2"/>
          <w:sz w:val="22"/>
        </w:rPr>
        <w:t> </w:t>
      </w:r>
      <w:r>
        <w:rPr>
          <w:sz w:val="22"/>
        </w:rPr>
        <w:t>variabili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salario</w:t>
      </w:r>
      <w:r>
        <w:rPr>
          <w:spacing w:val="-2"/>
          <w:sz w:val="22"/>
        </w:rPr>
        <w:t> </w:t>
      </w:r>
      <w:r>
        <w:rPr>
          <w:sz w:val="22"/>
        </w:rPr>
        <w:t>accessorio</w:t>
      </w:r>
      <w:r>
        <w:rPr>
          <w:spacing w:val="-2"/>
          <w:sz w:val="22"/>
        </w:rPr>
        <w:t> </w:t>
      </w:r>
      <w:r>
        <w:rPr>
          <w:sz w:val="22"/>
        </w:rPr>
        <w:t>non</w:t>
      </w:r>
      <w:r>
        <w:rPr>
          <w:spacing w:val="-2"/>
          <w:sz w:val="22"/>
        </w:rPr>
        <w:t> </w:t>
      </w:r>
      <w:r>
        <w:rPr>
          <w:sz w:val="22"/>
        </w:rPr>
        <w:t>soggette</w:t>
      </w:r>
      <w:r>
        <w:rPr>
          <w:spacing w:val="-2"/>
          <w:sz w:val="22"/>
        </w:rPr>
        <w:t> </w:t>
      </w:r>
      <w:r>
        <w:rPr>
          <w:sz w:val="22"/>
        </w:rPr>
        <w:t>ail</w:t>
      </w:r>
      <w:r>
        <w:rPr>
          <w:spacing w:val="-2"/>
          <w:sz w:val="22"/>
        </w:rPr>
        <w:t> </w:t>
      </w:r>
      <w:r>
        <w:rPr>
          <w:sz w:val="22"/>
        </w:rPr>
        <w:t>limiti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cui</w:t>
      </w:r>
      <w:r>
        <w:rPr>
          <w:spacing w:val="-2"/>
          <w:sz w:val="22"/>
        </w:rPr>
        <w:t> </w:t>
      </w:r>
      <w:r>
        <w:rPr>
          <w:sz w:val="22"/>
        </w:rPr>
        <w:t>all'art.23,</w:t>
      </w:r>
      <w:r>
        <w:rPr>
          <w:spacing w:val="-2"/>
          <w:sz w:val="22"/>
        </w:rPr>
        <w:t> </w:t>
      </w:r>
      <w:r>
        <w:rPr>
          <w:sz w:val="22"/>
        </w:rPr>
        <w:t>comma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D.Lgs. 75/2017 che andranno confermate ogni anno;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51" w:lineRule="exact" w:before="0" w:after="0"/>
        <w:ind w:left="862" w:right="0" w:hanging="372"/>
        <w:jc w:val="left"/>
        <w:rPr>
          <w:sz w:val="22"/>
        </w:rPr>
      </w:pPr>
      <w:r>
        <w:rPr>
          <w:sz w:val="22"/>
        </w:rPr>
        <w:t>Le componenti fisse del salario </w:t>
      </w:r>
      <w:r>
        <w:rPr>
          <w:spacing w:val="-2"/>
          <w:sz w:val="22"/>
        </w:rPr>
        <w:t>accessorio;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1" w:after="0"/>
        <w:ind w:left="861" w:right="0" w:hanging="359"/>
        <w:jc w:val="left"/>
        <w:rPr>
          <w:sz w:val="22"/>
        </w:rPr>
      </w:pPr>
      <w:r>
        <w:rPr>
          <w:sz w:val="22"/>
        </w:rPr>
        <w:t>Le risorse variabili soggette al limite di cui all’art.23, comma 2, d.lgs. </w:t>
      </w:r>
      <w:r>
        <w:rPr>
          <w:spacing w:val="-2"/>
          <w:sz w:val="22"/>
        </w:rPr>
        <w:t>75/2017.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250" w:right="5520" w:hanging="250"/>
        <w:jc w:val="right"/>
      </w:pPr>
      <w:r>
        <w:rPr/>
        <w:t>In</w:t>
      </w:r>
      <w:r>
        <w:rPr>
          <w:spacing w:val="-2"/>
        </w:rPr>
        <w:t> </w:t>
      </w:r>
      <w:r>
        <w:rPr/>
        <w:t>CCNL 2022-2024 per gli anni 2022 e </w:t>
      </w:r>
      <w:r>
        <w:rPr>
          <w:spacing w:val="-4"/>
        </w:rPr>
        <w:t>2023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0" w:after="0"/>
        <w:ind w:left="359" w:right="5477" w:hanging="359"/>
        <w:jc w:val="right"/>
        <w:rPr>
          <w:sz w:val="22"/>
        </w:rPr>
      </w:pPr>
      <w:r>
        <w:rPr>
          <w:sz w:val="22"/>
        </w:rPr>
        <w:t>Prevede solo in parte arretrati </w:t>
      </w:r>
      <w:r>
        <w:rPr>
          <w:spacing w:val="-2"/>
          <w:sz w:val="22"/>
        </w:rPr>
        <w:t>contrattuali;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0" w:after="0"/>
        <w:ind w:left="862" w:right="0" w:hanging="372"/>
        <w:jc w:val="left"/>
        <w:rPr>
          <w:sz w:val="22"/>
        </w:rPr>
      </w:pPr>
      <w:r>
        <w:rPr>
          <w:sz w:val="22"/>
        </w:rPr>
        <w:t>Non prevede arretrati </w:t>
      </w:r>
      <w:r>
        <w:rPr>
          <w:spacing w:val="-2"/>
          <w:sz w:val="22"/>
        </w:rPr>
        <w:t>contrattuali;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7" w:after="0"/>
        <w:ind w:left="861" w:right="0" w:hanging="359"/>
        <w:jc w:val="left"/>
        <w:rPr>
          <w:sz w:val="22"/>
        </w:rPr>
      </w:pPr>
      <w:r>
        <w:rPr>
          <w:sz w:val="22"/>
        </w:rPr>
        <w:t>Gli arretrati contrattuali sono erogati solo ai Funzionari e </w:t>
      </w:r>
      <w:r>
        <w:rPr>
          <w:spacing w:val="-5"/>
          <w:sz w:val="22"/>
        </w:rPr>
        <w:t>EQ.</w:t>
      </w:r>
    </w:p>
    <w:p>
      <w:pPr>
        <w:pStyle w:val="BodyText"/>
        <w:spacing w:before="252"/>
      </w:pPr>
    </w:p>
    <w:p>
      <w:pPr>
        <w:pStyle w:val="Heading2"/>
        <w:numPr>
          <w:ilvl w:val="0"/>
          <w:numId w:val="1"/>
        </w:numPr>
        <w:tabs>
          <w:tab w:pos="372" w:val="left" w:leader="none"/>
        </w:tabs>
        <w:spacing w:line="240" w:lineRule="auto" w:before="1" w:after="0"/>
        <w:ind w:left="372" w:right="0" w:hanging="225"/>
        <w:jc w:val="left"/>
      </w:pPr>
      <w:r>
        <w:rPr/>
        <w:t>L'incremento delle risorse fisse nel CCNL 2022-</w:t>
      </w:r>
      <w:r>
        <w:rPr>
          <w:spacing w:val="-4"/>
        </w:rPr>
        <w:t>2024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1" w:lineRule="exact" w:before="9" w:after="0"/>
        <w:ind w:left="861" w:right="0" w:hanging="358"/>
        <w:jc w:val="left"/>
        <w:rPr>
          <w:i/>
          <w:sz w:val="22"/>
        </w:rPr>
      </w:pPr>
      <w:r>
        <w:rPr>
          <w:sz w:val="22"/>
        </w:rPr>
        <w:t>è</w:t>
      </w:r>
      <w:r>
        <w:rPr>
          <w:spacing w:val="-2"/>
          <w:sz w:val="22"/>
        </w:rPr>
        <w:t> </w:t>
      </w:r>
      <w:r>
        <w:rPr>
          <w:sz w:val="22"/>
        </w:rPr>
        <w:t>espresso nella percentuale dello 3,05% del monte salari del </w:t>
      </w:r>
      <w:r>
        <w:rPr>
          <w:spacing w:val="-2"/>
          <w:sz w:val="22"/>
        </w:rPr>
        <w:t>2021</w:t>
      </w:r>
      <w:r>
        <w:rPr>
          <w:i/>
          <w:spacing w:val="-2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51" w:lineRule="exact" w:before="0" w:after="0"/>
        <w:ind w:left="862" w:right="0" w:hanging="371"/>
        <w:jc w:val="left"/>
        <w:rPr>
          <w:i/>
          <w:sz w:val="22"/>
        </w:rPr>
      </w:pPr>
      <w:r>
        <w:rPr>
          <w:sz w:val="22"/>
        </w:rPr>
        <w:t>è espresso con un valore pro </w:t>
      </w:r>
      <w:r>
        <w:rPr>
          <w:spacing w:val="-2"/>
          <w:sz w:val="22"/>
        </w:rPr>
        <w:t>capite</w:t>
      </w:r>
      <w:r>
        <w:rPr>
          <w:i/>
          <w:spacing w:val="-2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1" w:after="0"/>
        <w:ind w:left="861" w:right="0" w:hanging="358"/>
        <w:jc w:val="left"/>
        <w:rPr>
          <w:i/>
          <w:sz w:val="22"/>
        </w:rPr>
      </w:pPr>
      <w:r>
        <w:rPr>
          <w:sz w:val="22"/>
        </w:rPr>
        <w:t>è</w:t>
      </w:r>
      <w:r>
        <w:rPr>
          <w:spacing w:val="-2"/>
          <w:sz w:val="22"/>
        </w:rPr>
        <w:t> </w:t>
      </w:r>
      <w:r>
        <w:rPr>
          <w:sz w:val="22"/>
        </w:rPr>
        <w:t>espresso con un valore economico non collegato al monte </w:t>
      </w:r>
      <w:r>
        <w:rPr>
          <w:spacing w:val="-2"/>
          <w:sz w:val="22"/>
        </w:rPr>
        <w:t>salari</w:t>
      </w:r>
      <w:r>
        <w:rPr>
          <w:i/>
          <w:spacing w:val="-2"/>
          <w:sz w:val="22"/>
        </w:rPr>
        <w:t>.</w:t>
      </w:r>
    </w:p>
    <w:sectPr>
      <w:pgSz w:w="11910" w:h="16840"/>
      <w:pgMar w:header="708" w:footer="0" w:top="17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720090</wp:posOffset>
          </wp:positionH>
          <wp:positionV relativeFrom="page">
            <wp:posOffset>449589</wp:posOffset>
          </wp:positionV>
          <wp:extent cx="2316480" cy="4533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73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7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8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1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73" w:hanging="25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Lovecchio</dc:creator>
  <dcterms:created xsi:type="dcterms:W3CDTF">2026-05-05T12:32:20Z</dcterms:created>
  <dcterms:modified xsi:type="dcterms:W3CDTF">2026-05-05T12:32:20Z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2026-05-05T00:00:00Z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25.2.7.2 (X86_64) / LibreOffice Community</vt:lpwstr>
  </property>
</Properties>
</file>