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jc w:val="center"/>
        <w:rPr>
          <w:b/>
          <w:color w:val="C00000"/>
          <w:sz w:val="40"/>
          <w:szCs w:val="40"/>
          <w:u w:val="single"/>
        </w:rPr>
      </w:pPr>
      <w:r>
        <w:rPr>
          <w:b/>
          <w:color w:val="C00000"/>
          <w:sz w:val="40"/>
          <w:szCs w:val="40"/>
          <w:u w:val="single"/>
        </w:rPr>
        <w:t>Costituzione del fondo a seguito del CCNL 2022-2024</w:t>
      </w:r>
    </w:p>
    <w:p>
      <w:pPr>
        <w:pStyle w:val="Heading1"/>
        <w:rPr>
          <w:bCs w:val="false"/>
          <w:color w:val="C00000"/>
          <w:sz w:val="40"/>
          <w:szCs w:val="40"/>
          <w:u w:val="single"/>
        </w:rPr>
      </w:pPr>
      <w:r>
        <w:rPr>
          <w:bCs w:val="false"/>
          <w:color w:val="C00000"/>
          <w:sz w:val="40"/>
          <w:szCs w:val="40"/>
          <w:u w:val="single"/>
        </w:rPr>
      </w:r>
    </w:p>
    <w:p>
      <w:pPr>
        <w:pStyle w:val="Heading1"/>
        <w:rPr>
          <w:bCs w:val="false"/>
          <w:color w:val="C00000"/>
          <w:sz w:val="40"/>
          <w:szCs w:val="40"/>
          <w:u w:val="single"/>
        </w:rPr>
      </w:pPr>
      <w:r>
        <w:rPr>
          <w:bCs w:val="false"/>
          <w:color w:val="C00000"/>
          <w:sz w:val="40"/>
          <w:szCs w:val="40"/>
          <w:u w:val="single"/>
        </w:rPr>
        <w:t xml:space="preserve">11 </w:t>
      </w:r>
      <w:r>
        <w:rPr>
          <w:bCs w:val="false"/>
          <w:color w:val="C00000"/>
          <w:sz w:val="40"/>
          <w:szCs w:val="40"/>
          <w:u w:val="single"/>
        </w:rPr>
        <w:t>marzo</w:t>
      </w:r>
      <w:r>
        <w:rPr>
          <w:bCs w:val="false"/>
          <w:color w:val="C00000"/>
          <w:sz w:val="40"/>
          <w:szCs w:val="40"/>
          <w:u w:val="single"/>
        </w:rPr>
        <w:t xml:space="preserve"> 2026</w:t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Heading1"/>
        <w:rPr>
          <w:bCs w:val="false"/>
          <w:iCs/>
          <w:color w:val="002060"/>
          <w:sz w:val="32"/>
          <w:u w:val="single"/>
        </w:rPr>
      </w:pPr>
      <w:r>
        <w:rPr>
          <w:bCs w:val="false"/>
          <w:iCs/>
          <w:color w:val="002060"/>
          <w:sz w:val="32"/>
          <w:u w:val="single"/>
        </w:rPr>
        <w:t>Test di verifica dell’apprendimento</w:t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rPr/>
      </w:pPr>
      <w:r>
        <w:rPr/>
      </w:r>
    </w:p>
    <w:p>
      <w:pPr>
        <w:pStyle w:val="Heading1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rPr>
          <w:sz w:val="22"/>
        </w:rPr>
      </w:pPr>
      <w:r>
        <w:rPr>
          <w:sz w:val="22"/>
        </w:rPr>
        <w:t>Cognome  ___________________________   Nome  _________________________</w:t>
      </w:r>
    </w:p>
    <w:p>
      <w:pPr>
        <w:pStyle w:val="Heading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Heading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Ente di appartenenza  </w:t>
      </w:r>
      <w:r>
        <w:rPr>
          <w:rFonts w:ascii="Times New Roman" w:hAnsi="Times New Roman"/>
          <w:sz w:val="22"/>
        </w:rPr>
        <w:t>________________________________________________________________</w:t>
      </w:r>
    </w:p>
    <w:p>
      <w:pPr>
        <w:pStyle w:val="Normal"/>
        <w:pBdr>
          <w:top w:val="dashSmallGap" w:sz="8" w:space="1" w:color="000000"/>
          <w:left w:val="dashSmallGap" w:sz="8" w:space="4" w:color="000000"/>
          <w:bottom w:val="dashSmallGap" w:sz="8" w:space="1" w:color="000000"/>
          <w:right w:val="dashSmallGap" w:sz="8" w:space="4" w:color="000000"/>
        </w:pBdr>
        <w:rPr/>
      </w:pPr>
      <w:r>
        <w:rPr/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/>
        <w:t>*</w:t>
        <w:tab/>
        <w:tab/>
      </w:r>
      <w:r>
        <w:rPr>
          <w:rFonts w:ascii="Times New Roman" w:hAnsi="Times New Roman"/>
          <w:b/>
        </w:rPr>
        <w:t>Modalità di compilazione</w:t>
      </w:r>
      <w:r>
        <w:rPr>
          <w:rFonts w:ascii="Times New Roman" w:hAnsi="Times New Roman"/>
        </w:rPr>
        <w:t>:</w:t>
        <w:tab/>
        <w:tab/>
        <w:t>per ogni quesito, barrare una sola risposta</w:t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*</w:t>
        <w:tab/>
        <w:tab/>
      </w:r>
      <w:r>
        <w:rPr>
          <w:rFonts w:ascii="Times New Roman" w:hAnsi="Times New Roman"/>
          <w:b/>
        </w:rPr>
        <w:t>Tempo a disposizione</w:t>
      </w:r>
      <w:r>
        <w:rPr>
          <w:rFonts w:ascii="Times New Roman" w:hAnsi="Times New Roman"/>
        </w:rPr>
        <w:t>:</w:t>
        <w:tab/>
        <w:tab/>
        <w:tab/>
        <w:t>10 minuti</w:t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*</w:t>
        <w:tab/>
        <w:tab/>
      </w:r>
      <w:r>
        <w:rPr>
          <w:rFonts w:ascii="Times New Roman" w:hAnsi="Times New Roman"/>
          <w:b/>
        </w:rPr>
        <w:t>Criterio di valutazione</w:t>
      </w:r>
      <w:r>
        <w:rPr>
          <w:rFonts w:ascii="Times New Roman" w:hAnsi="Times New Roman"/>
        </w:rPr>
        <w:t>:</w:t>
        <w:tab/>
        <w:tab/>
        <w:t>fino a 2 risposte esatte:</w:t>
        <w:tab/>
        <w:tab/>
        <w:t>esito negativo</w:t>
      </w:r>
    </w:p>
    <w:p>
      <w:pPr>
        <w:pStyle w:val="Normal"/>
        <w:tabs>
          <w:tab w:val="clear" w:pos="708"/>
          <w:tab w:val="left" w:pos="425" w:leader="none"/>
        </w:tabs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con almeno 3 risposte esatte:</w:t>
        <w:tab/>
        <w:t>esito positivo</w:t>
      </w:r>
    </w:p>
    <w:p>
      <w:pPr>
        <w:pStyle w:val="Normal"/>
        <w:spacing w:lineRule="auto" w:line="259" w:before="0" w:after="1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  <w:r>
        <w:br w:type="page"/>
      </w:r>
    </w:p>
    <w:p>
      <w:pPr>
        <w:pStyle w:val="Normal"/>
        <w:spacing w:lineRule="atLeast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tLeast" w:lin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tLeast" w:line="240"/>
        <w:ind w:right="-1"/>
        <w:jc w:val="both"/>
        <w:rPr/>
      </w:pPr>
      <w:r>
        <w:rPr>
          <w:rFonts w:eastAsia="Times New Roman" w:ascii="Times New Roman" w:hAnsi="Times New Roman"/>
          <w:b/>
        </w:rPr>
        <w:t xml:space="preserve">1. Negli arretrati sul tabellare gli enti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dovranno calcolare gli arretrati al lordo della IVC;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dovranno calcolare gli arretrati escludendo la sola maggiorazione del 2024 pari a 6,7 volte IVC;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ascii="Times New Roman" w:hAnsi="Times New Roman"/>
        </w:rPr>
        <w:t>dovranno calcolare gli arretrati al netto della IVC corrisposta 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240"/>
        <w:ind w:right="-1"/>
        <w:jc w:val="both"/>
        <w:rPr/>
      </w:pPr>
      <w:r>
        <w:rPr>
          <w:rFonts w:eastAsia="Times New Roman" w:ascii="Times New Roman" w:hAnsi="Times New Roman"/>
          <w:b/>
        </w:rPr>
        <w:t>2. L'asso</w:t>
      </w:r>
      <w:r>
        <w:rPr>
          <w:rFonts w:eastAsia="Times New Roman" w:ascii="Times New Roman" w:hAnsi="Times New Roman"/>
          <w:b/>
        </w:rPr>
        <w:t>r</w:t>
      </w:r>
      <w:r>
        <w:rPr>
          <w:rFonts w:eastAsia="Times New Roman" w:ascii="Times New Roman" w:hAnsi="Times New Roman"/>
          <w:b/>
        </w:rPr>
        <w:t>bimento della indennità di comparto avrà</w:t>
      </w:r>
    </w:p>
    <w:p>
      <w:pPr>
        <w:pStyle w:val="Normal"/>
        <w:spacing w:lineRule="atLeast" w:line="240"/>
        <w:ind w:right="-1"/>
        <w:jc w:val="both"/>
        <w:rPr/>
      </w:pPr>
      <w:r>
        <w:rPr>
          <w:rFonts w:eastAsia="Times New Roman" w:ascii="Times New Roman" w:hAnsi="Times New Roman"/>
          <w:bCs/>
        </w:rPr>
        <w:t>a) La stessa decorrenza del CCNL una volta sottoscritto;</w:t>
      </w:r>
    </w:p>
    <w:p>
      <w:pPr>
        <w:pStyle w:val="Normal"/>
        <w:spacing w:lineRule="atLeast" w:line="240"/>
        <w:ind w:right="-1"/>
        <w:jc w:val="both"/>
        <w:rPr/>
      </w:pPr>
      <w:r>
        <w:rPr>
          <w:rFonts w:eastAsia="Times New Roman" w:ascii="Times New Roman" w:hAnsi="Times New Roman"/>
          <w:bCs/>
        </w:rPr>
        <w:t>b) La decorrenza dal 1° gennaio dell'anno successsivo alla sottoscrizione della preintesa;</w:t>
      </w:r>
    </w:p>
    <w:p>
      <w:pPr>
        <w:pStyle w:val="Normal"/>
        <w:spacing w:lineRule="atLeast" w:line="240"/>
        <w:ind w:right="-1"/>
        <w:jc w:val="both"/>
        <w:rPr/>
      </w:pPr>
      <w:r>
        <w:rPr>
          <w:rFonts w:eastAsia="Times New Roman" w:ascii="Times New Roman" w:hAnsi="Times New Roman"/>
          <w:bCs/>
        </w:rPr>
        <w:t>c) Sarà applicata entro un mese dalla sottoscrizione.</w:t>
      </w:r>
    </w:p>
    <w:p>
      <w:pPr>
        <w:pStyle w:val="Normal"/>
        <w:spacing w:lineRule="atLeast" w:line="240"/>
        <w:ind w:right="-1"/>
        <w:jc w:val="both"/>
        <w:rPr/>
      </w:pPr>
      <w:r>
        <w:rPr/>
      </w:r>
    </w:p>
    <w:p>
      <w:pPr>
        <w:pStyle w:val="Normal"/>
        <w:spacing w:lineRule="atLeast" w:line="240"/>
        <w:ind w:right="-1"/>
        <w:jc w:val="both"/>
        <w:rPr>
          <w:rFonts w:ascii="Times New Roman" w:hAnsi="Times New Roman" w:eastAsia="Times New Roman"/>
          <w:b/>
        </w:rPr>
      </w:pPr>
      <w:r>
        <w:rPr>
          <w:rFonts w:eastAsia="Times New Roman" w:ascii="Times New Roman" w:hAnsi="Times New Roman"/>
          <w:b/>
        </w:rPr>
      </w:r>
    </w:p>
    <w:p>
      <w:pPr>
        <w:pStyle w:val="Normal"/>
        <w:spacing w:lineRule="atLeast" w:line="240"/>
        <w:ind w:right="-1"/>
        <w:jc w:val="both"/>
        <w:rPr/>
      </w:pPr>
      <w:r>
        <w:rPr>
          <w:rFonts w:eastAsia="Times New Roman" w:ascii="Times New Roman" w:hAnsi="Times New Roman"/>
          <w:b/>
        </w:rPr>
        <w:t>3. Le risorse variabili dello 0,22% del monte salari 2021 sono inserite tra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Times New Roman" w:ascii="Times New Roman" w:hAnsi="Times New Roman"/>
        </w:rPr>
        <w:t>Le componenti variabili del salario accessorio che andranno confermate ogni anno;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Times New Roman" w:ascii="Times New Roman" w:hAnsi="Times New Roman"/>
        </w:rPr>
        <w:t>Le componenti fisse del salario accessorio;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eastAsia="Times New Roman" w:ascii="Times New Roman" w:hAnsi="Times New Roman"/>
        </w:rPr>
        <w:t xml:space="preserve">Le risorse variabili soggette al limite di cui all’art.23, comma 2, d.lgs. 75/2017.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240"/>
        <w:ind w:right="-1"/>
        <w:jc w:val="both"/>
        <w:rPr/>
      </w:pPr>
      <w:r>
        <w:rPr>
          <w:rFonts w:eastAsia="Times New Roman" w:ascii="Times New Roman" w:hAnsi="Times New Roman"/>
          <w:b/>
        </w:rPr>
        <w:t>4. In CCNL 2022-2024 per gli anni 2022 e 2023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ascii="Times New Roman" w:hAnsi="Times New Roman"/>
        </w:rPr>
        <w:t>Prevede solo in parte arretrati contrattuali;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ascii="Times New Roman" w:hAnsi="Times New Roman"/>
        </w:rPr>
        <w:t>Non prevede arretrati contrattuali;</w:t>
      </w:r>
    </w:p>
    <w:p>
      <w:pPr>
        <w:pStyle w:val="ListParagraph"/>
        <w:numPr>
          <w:ilvl w:val="0"/>
          <w:numId w:val="3"/>
        </w:numPr>
        <w:rPr/>
      </w:pPr>
      <w:r>
        <w:rPr>
          <w:rFonts w:ascii="Times New Roman" w:hAnsi="Times New Roman"/>
        </w:rPr>
        <w:t>Gli arretrati contrattuali sono erogati solo ai Funzionari e EQ.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240"/>
        <w:ind w:right="-1"/>
        <w:jc w:val="both"/>
        <w:rPr/>
      </w:pPr>
      <w:r>
        <w:rPr>
          <w:rFonts w:eastAsia="Times New Roman" w:ascii="Times New Roman" w:hAnsi="Times New Roman"/>
          <w:b/>
        </w:rPr>
        <w:t xml:space="preserve">5. L'incremento delle risorse variabili nel CCNL 2022-2024 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>
          <w:rFonts w:eastAsia="Times New Roman" w:ascii="Times New Roman" w:hAnsi="Times New Roman"/>
        </w:rPr>
        <w:t>è espresso nella percentuale dello 0,14% delmonte salari del 2021;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>
          <w:rFonts w:eastAsia="Times New Roman" w:ascii="Times New Roman" w:hAnsi="Times New Roman"/>
        </w:rPr>
        <w:t>è espresso con un valore pro capite;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>
          <w:rFonts w:eastAsia="Times New Roman" w:ascii="Times New Roman" w:hAnsi="Times New Roman"/>
        </w:rPr>
        <w:t>è espresso con un valore economico non collegato al monte salari.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3170" w:leader="none"/>
      </w:tabs>
      <w:rPr/>
    </w:pPr>
    <w:r>
      <w:rPr/>
      <w:drawing>
        <wp:inline distT="0" distB="0" distL="0" distR="0">
          <wp:extent cx="2316480" cy="454025"/>
          <wp:effectExtent l="0" t="0" r="0" b="0"/>
          <wp:docPr id="1" name="Immagine 2" descr="Logodefinitivo_formazionemaggioli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Logodefinitivo_formazionemaggioli_20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3170" w:leader="none"/>
      </w:tabs>
      <w:rPr/>
    </w:pPr>
    <w:r>
      <w:rPr/>
      <w:drawing>
        <wp:inline distT="0" distB="0" distL="0" distR="0">
          <wp:extent cx="2316480" cy="454025"/>
          <wp:effectExtent l="0" t="0" r="0" b="0"/>
          <wp:docPr id="2" name="Immagine 2" descr="Logodefinitivo_formazionemaggioli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definitivo_formazionemaggioli_20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5caf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qFormat/>
    <w:rsid w:val="00c45caf"/>
    <w:pPr>
      <w:keepNext w:val="true"/>
      <w:jc w:val="center"/>
      <w:outlineLvl w:val="0"/>
    </w:pPr>
    <w:rPr>
      <w:rFonts w:ascii="Times New Roman" w:hAnsi="Times New Roman" w:eastAsia="Times New Roman"/>
      <w:b/>
      <w:bCs/>
      <w:sz w:val="28"/>
      <w:szCs w:val="24"/>
      <w:lang w:eastAsia="it-IT"/>
    </w:rPr>
  </w:style>
  <w:style w:type="paragraph" w:styleId="Heading4">
    <w:name w:val="heading 4"/>
    <w:basedOn w:val="Normal"/>
    <w:next w:val="Normal"/>
    <w:link w:val="Titolo4Carattere"/>
    <w:qFormat/>
    <w:rsid w:val="00c45caf"/>
    <w:pPr>
      <w:keepNext w:val="true"/>
      <w:pBdr>
        <w:top w:val="dashSmallGap" w:sz="8" w:space="1" w:color="000000"/>
        <w:left w:val="dashSmallGap" w:sz="8" w:space="4" w:color="000000"/>
        <w:bottom w:val="dashSmallGap" w:sz="8" w:space="1" w:color="000000"/>
        <w:right w:val="dashSmallGap" w:sz="8" w:space="4" w:color="000000"/>
      </w:pBdr>
      <w:tabs>
        <w:tab w:val="clear" w:pos="708"/>
        <w:tab w:val="left" w:pos="425" w:leader="none"/>
      </w:tabs>
      <w:outlineLvl w:val="3"/>
    </w:pPr>
    <w:rPr>
      <w:rFonts w:ascii="Tms Rmn" w:hAnsi="Tms Rmn" w:eastAsia="Times New Roman"/>
      <w:sz w:val="2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c45caf"/>
    <w:rPr>
      <w:rFonts w:ascii="Times New Roman" w:hAnsi="Times New Roman" w:eastAsia="Times New Roman" w:cs="Times New Roman"/>
      <w:b/>
      <w:bCs/>
      <w:sz w:val="28"/>
      <w:szCs w:val="24"/>
      <w:lang w:eastAsia="it-IT"/>
    </w:rPr>
  </w:style>
  <w:style w:type="character" w:styleId="Titolo4Carattere" w:customStyle="1">
    <w:name w:val="Titolo 4 Carattere"/>
    <w:basedOn w:val="DefaultParagraphFont"/>
    <w:qFormat/>
    <w:rsid w:val="00c45caf"/>
    <w:rPr>
      <w:rFonts w:ascii="Tms Rmn" w:hAnsi="Tms Rmn" w:eastAsia="Times New Roman" w:cs="Times New Roman"/>
      <w:sz w:val="28"/>
      <w:szCs w:val="20"/>
      <w:lang w:eastAsia="it-IT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c45caf"/>
    <w:rPr>
      <w:rFonts w:ascii="Calibri" w:hAnsi="Calibri" w:eastAsia="Calibri" w:cs="Times New Roman"/>
    </w:rPr>
  </w:style>
  <w:style w:type="paragraph" w:styleId="Titolo" w:customStyle="1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45caf"/>
    <w:pPr>
      <w:spacing w:before="0" w:after="0"/>
      <w:ind w:left="720"/>
      <w:contextualSpacing/>
    </w:pPr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c45caf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LibreOffice/25.8.5.2$Windows_X86_64 LibreOffice_project/9c8b85f387cc00a89945a79c9e6239f32e450ac2</Application>
  <AppVersion>15.0000</AppVersion>
  <Pages>2</Pages>
  <Words>255</Words>
  <Characters>1474</Characters>
  <CharactersWithSpaces>1713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2025-02-13T09:30:00Z</dcterms:created>
  <dc:creator>Luigi Lovecchio</dc:creator>
  <dc:description/>
  <dc:language>it-IT</dc:language>
  <cp:lastModifiedBy/>
  <dcterms:modified xsi:type="dcterms:W3CDTF">2026-03-24T10:55:24Z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